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12c AEG 1994 — Nachweis der Behinderung</w:t>
      </w:r>
    </w:p>
    <w:p>
      <w:r>
        <w:rPr>
          <w:color w:val="555555"/>
          <w:sz w:val="18"/>
        </w:rPr>
        <w:t xml:space="preserve">Allgemeines Eisenbahngesetz</w:t>
      </w:r>
    </w:p>
    <w:p>
      <w:r>
        <w:rPr>
          <w:color w:val="555555"/>
          <w:sz w:val="18"/>
        </w:rPr>
        <w:t xml:space="preserve">Stand: 03.08.2023 (konsolidierte Textfassung, kein amtliches Inkrafttretensdatum)</w:t>
      </w:r>
    </w:p>
    <w:p>
      <w:r>
        <w:t xml:space="preserve">Steht den Fahrgästen nach Artikel 11 Absatz 4 Satz 1 der Verordnung (EU) 2021/782 wegen einer Behinderung das Recht zu, einen Fahrausweis im Zug zu erwerben, so können die Eisenbahnverkehrsunternehmen in ihren Beförderungsbedingungen festlegen, dass jene Fahrgäste, die einen Fahrausweis im Zug erwerben möchten, einen amtlichen Nachweis der Behinderung vorlegen müssen. Eine solche Regelung muss die Möglichkeit vorsehen, dass der Fahrgast nachträglich nachweisen kann, zum Zeitpunkt der Beförderung Inhaber eines gültigen Nachweises nach Satz 1 gewesen zu sein.</w:t>
      </w:r>
    </w:p>
    <w:p>
      <w:r>
        <w:rPr>
          <w:color w:val="555555"/>
          <w:sz w:val="17"/>
        </w:rPr>
        <w:t xml:space="preserve">Zitiervorschlag: § 12c AEG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https://recht.nulegal.eu/gesetze/AEG%201994/12c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12c AEG 1994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