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AEG 1994 — Beförderungspflicht; Mitnahme von Fahrrädern</w:t>
      </w:r>
    </w:p>
    <w:p>
      <w:r>
        <w:rPr>
          <w:color w:val="555555"/>
          <w:sz w:val="18"/>
        </w:rPr>
        <w:t xml:space="preserve">Allgemeines Eisenbahngesetz</w:t>
      </w:r>
    </w:p>
    <w:p>
      <w:r>
        <w:rPr>
          <w:color w:val="555555"/>
          <w:sz w:val="18"/>
        </w:rPr>
        <w:t xml:space="preserve">Stand: 03.08.2023 (konsolidierte Textfassung, kein amtliches Inkrafttretensdatum)</w:t>
      </w:r>
    </w:p>
    <w:p>
      <w:r>
        <w:t xml:space="preserve">(1) Öffentliche Eisenbahnverkehrsunternehmen, die dem Personenverkehr dienen, sind zur Beförderung von Personen und Reisegepäck verpflichtet, wenn</w:t>
      </w:r>
    </w:p>
    <w:p>
      <w:pPr>
        <w:ind w:left="420"/>
      </w:pPr>
      <w:r>
        <w:t xml:space="preserve">1. die Beförderungsbedingungen eingehalten werden,</w:t>
      </w:r>
    </w:p>
    <w:p>
      <w:pPr>
        <w:ind w:left="420"/>
      </w:pPr>
      <w:r>
        <w:t xml:space="preserve">2. die Beförderung mit den regelmäßig verwendeten Beförderungsmitteln möglich ist und</w:t>
      </w:r>
    </w:p>
    <w:p>
      <w:pPr>
        <w:ind w:left="420"/>
      </w:pPr>
      <w:r>
        <w:t xml:space="preserve">3. die Beförderung nicht durch Umstände verhindert wird, welche das Eisenbahnverkehrsunternehmen nicht abwenden und denen es auch nicht abhelfen konnte.</w:t>
      </w:r>
    </w:p>
    <w:p>
      <w:r>
        <w:t xml:space="preserve">(2) Eisenbahnverkehrsunternehmen sind verpflichtet, Pläne für die verstärkte und verbesserte Beförderung von Fahrrädern nach Artikel 6 Absatz 5 der Verordnung (EU) 2021/782 aufzustellen und auf dem neuesten Stand zu halten.</w:t>
      </w:r>
    </w:p>
    <w:p>
      <w:r>
        <w:rPr>
          <w:color w:val="555555"/>
          <w:sz w:val="17"/>
        </w:rPr>
        <w:t xml:space="preserve">Zitiervorschlag: § 10 AEG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https://recht.nulegal.eu/gesetze/AEG%201994/10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