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5 ADRG</w:t>
      </w:r>
    </w:p>
    <w:p>
      <w:r>
        <w:rPr>
          <w:color w:val="555555"/>
          <w:sz w:val="18"/>
        </w:rPr>
        <w:t xml:space="preserve">Gesetz zu dem Europäischen Übereinkommen vom 30. September 1957 über die internationale Beförderung gefährlicher Güter auf der Straße (ADR)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gilt auch im Land Berlin, sofern das Land Berlin die Anwendung dieses Gesetzes feststellt. Rechtsverordnungen, die auf Grund dieses Gesetzes erlassen werden, gelten im Land Berlin nach § 14 des Dritten Überleitungsgesetzes vom 4. Januar 1952 (Bundesgesetzbl. I S. 1).</w:t>
      </w:r>
    </w:p>
    <w:p>
      <w:r>
        <w:rPr>
          <w:color w:val="555555"/>
          <w:sz w:val="17"/>
        </w:rPr>
        <w:t xml:space="preserve">Zitiervorschlag: Art 5 ADRG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https://recht.nulegal.eu/gesetze/ADRG/5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