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ADLV — Voraussetzungen für den Laufbahnwechsel in den gehobenen Auswärtigen Dienst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Liegen bei einer Beamtin auf Lebenszeit oder einem Beamten auf Lebenszeit die Voraussetzungen für die Anerkennung der Befähigung für eine andere Laufbahn als gleichwertige Befähigung im Sinne des § 12 Absatz 2 des Gesetzes über den Auswärtigen Dienst nicht vor, so kann sie oder kann er die Befähigung für den gehobenen Auswärtigen Dienst erwerben, wenn sie oder er</w:t>
      </w:r>
    </w:p>
    <w:p>
      <w:pPr>
        <w:ind w:left="420"/>
      </w:pPr>
      <w:r>
        <w:t xml:space="preserve">1. ein verwaltungsnahes Hochschulstudium mit einem Bachelor oder einem Diplomgrad mit dem Zusatz „Fachhochschule“ abgeschlossen hat oder über einen gleichwertigen Abschluss verfügt,</w:t>
      </w:r>
    </w:p>
    <w:p>
      <w:pPr>
        <w:ind w:left="420"/>
      </w:pPr>
      <w:r>
        <w:t xml:space="preserve">2. erfolgreich an einem Auswahlverfahren teilgenommen hat,</w:t>
      </w:r>
    </w:p>
    <w:p>
      <w:pPr>
        <w:ind w:left="420"/>
      </w:pPr>
      <w:r>
        <w:t xml:space="preserve">3. erfolgreich an einer laufbahnspezifischen Qualifizierung nach § 10 teilgenommen hat und</w:t>
      </w:r>
    </w:p>
    <w:p>
      <w:pPr>
        <w:ind w:left="420"/>
      </w:pPr>
      <w:r>
        <w:t xml:space="preserve">4. durch ein Gesundheitszeugnis des Gesundheitsdienstes des Auswärtigen Amts, durch den oder in dessen Auftrag die Untersuchung durchgeführt wird, nachweist, gesundheitlich einschränkungslos für eine weltweite Verwendung geeignet zu sein.</w:t>
      </w:r>
    </w:p>
    <w:p>
      <w:r>
        <w:t xml:space="preserve">Die Verbeamtung auf Lebenszeit muss spätestens bei Ablauf der Ausschreibungsfrist erfolgt sein.</w:t>
      </w:r>
    </w:p>
    <w:p>
      <w:r>
        <w:t xml:space="preserve">(2) Auf die Durchführung des Auswahlverfahrens sind die Vorschriften des Abschnitts 2 der Verordnung über den Vorbereitungsdienst für den gehobenen Auswärtigen Dienst entsprechend anzuwenden.</w:t>
      </w:r>
    </w:p>
    <w:p>
      <w:r>
        <w:rPr>
          <w:color w:val="555555"/>
          <w:sz w:val="17"/>
        </w:rPr>
        <w:t xml:space="preserve">Zitiervorschlag: § 9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