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ADLV — Laufbahnen und Ämter des Auswärtigen Dienstes</w:t>
      </w:r>
    </w:p>
    <w:p>
      <w:r>
        <w:rPr>
          <w:color w:val="555555"/>
          <w:sz w:val="18"/>
        </w:rPr>
        <w:t xml:space="preserve">Verordnung über die Laufbahnen des Auswärtigen Dienstes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Laufbahnen des Auswärtigen Dienstes sind</w:t>
      </w:r>
    </w:p>
    <w:p>
      <w:pPr>
        <w:ind w:left="420"/>
      </w:pPr>
      <w:r>
        <w:t xml:space="preserve">1. die Laufbahn des mittleren Auswärtigen Dienstes,</w:t>
      </w:r>
    </w:p>
    <w:p>
      <w:pPr>
        <w:ind w:left="420"/>
      </w:pPr>
      <w:r>
        <w:t xml:space="preserve">2. die Laufbahn des gehobenen Auswärtigen Dienstes und</w:t>
      </w:r>
    </w:p>
    <w:p>
      <w:pPr>
        <w:ind w:left="420"/>
      </w:pPr>
      <w:r>
        <w:t xml:space="preserve">3. die Laufbahn des höheren Auswärtigen Dienstes.</w:t>
      </w:r>
    </w:p>
    <w:p>
      <w:r>
        <w:rPr>
          <w:color w:val="555555"/>
          <w:sz w:val="17"/>
        </w:rPr>
        <w:t xml:space="preserve">Zitiervorschlag: § 2 ADLV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