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ADLV — Übergangsvorschriften</w:t>
      </w:r>
    </w:p>
    <w:p>
      <w:r>
        <w:rPr>
          <w:color w:val="555555"/>
          <w:sz w:val="18"/>
        </w:rPr>
        <w:t xml:space="preserve">Verordnung über die Laufbahnen des Auswärtigen Dienstes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Auf vor dem 25. März 2025 begonnene Verfahren des Aufstiegs und des Laufbahnwechsels nach den §§ 6 bis 10 dieser Verordnung sind anzuwenden:</w:t>
      </w:r>
    </w:p>
    <w:p>
      <w:pPr>
        <w:ind w:left="420"/>
      </w:pPr>
      <w:r>
        <w:t xml:space="preserve">1. die Verordnung über die Laufbahn, Ausbildung und Prüfung für den mittleren Auswärtigen Dienst vom 28. Juli 2004 (BGBl. I S. 1939), die zuletzt durch Artikel 3 der Verordnung vom 22. Dezember 2022 (BGBl. I S. 2893) geändert worden ist,</w:t>
      </w:r>
    </w:p>
    <w:p>
      <w:pPr>
        <w:ind w:left="420"/>
      </w:pPr>
      <w:r>
        <w:t xml:space="preserve">2. die Verordnung über die Laufbahn, Ausbildung und Prüfung für den gehobenen Auswärtigen Dienst vom 8. Juli 2004 (BGBl. I S. 1591), die zuletzt durch Artikel 2 der Verordnung vom 22. Dezember 2022 (BGBl. I S. 2893) geändert worden ist, und</w:t>
      </w:r>
    </w:p>
    <w:p>
      <w:pPr>
        <w:ind w:left="420"/>
      </w:pPr>
      <w:r>
        <w:t xml:space="preserve">3. die Verordnung über die Laufbahn, Ausbildung und Prüfung für den höheren Auswärtigen Dienst vom 15. Juni 2004 (BGBl. I S. 1088), die zuletzt durch Artikel 1 der Verordnung vom 22. Dezember 2022 (BGBl. I S. 2893) geändert worden ist.</w:t>
      </w:r>
    </w:p>
    <w:p>
      <w:r>
        <w:rPr>
          <w:color w:val="555555"/>
          <w:sz w:val="17"/>
        </w:rPr>
        <w:t xml:space="preserve">Zitiervorschlag: § 11 ADLV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