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ACHTZEHNTER_RUNDFUNKAEND_STV (Brandenburg)</w:t>
      </w:r>
    </w:p>
    <w:p>
      <w:r>
        <w:rPr>
          <w:color w:val="555555"/>
          <w:sz w:val="18"/>
        </w:rPr>
        <w:t xml:space="preserve">Gesetz zum Achtzehnten Rundfunkänderungsstaatsvertrag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Staatsvertrag tritt nach seinem Artikel 2 Absatz 2 Satz 1 am 1. Januar 2016 in Kraft. Sollte der Staatsvertrag nach seinem Artikel 2 Absatz 2 Satz 2 gegenstandslos werden, ist dies unverzüglich im Gesetz- und Verordnungsblatt für das Land Brandenburg Teil I bekannt zu geben.</w:t>
      </w:r>
    </w:p>
    <w:p>
      <w:r>
        <w:t xml:space="preserve">Potsdam, den 17. Dezember 2015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 - Rundfunkstaatsvertrag</w:t>
      </w:r>
    </w:p>
    <w:p>
      <w:r>
        <w:rPr>
          <w:color w:val="555555"/>
          <w:sz w:val="17"/>
        </w:rPr>
        <w:t xml:space="preserve">Zitiervorschlag: § 3 ACHTZEHNTER_RUNDFUNKAEND_STV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https://recht.nulegal.eu/gesetze/ACHTZEHNTER_RUNDFUNKAEND_STV/3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