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ACHTZEHNTER_RUNDFUNKAEND_STV (Brandenburg)</w:t>
      </w:r>
    </w:p>
    <w:p>
      <w:r>
        <w:rPr>
          <w:color w:val="555555"/>
          <w:sz w:val="18"/>
        </w:rPr>
        <w:t xml:space="preserve">Gesetz zum Achtzehnten Rundfunkänderungsstaatsvertrag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dieses Gesetz wird das Recht auf Berufsfreiheit (Artikel 49 Absatz 1 Satz 1 der Verfassung des Landes Brandenburg) eingeschränkt.</w:t>
      </w:r>
    </w:p>
    <w:p>
      <w:r>
        <w:rPr>
          <w:color w:val="555555"/>
          <w:sz w:val="17"/>
        </w:rPr>
        <w:t xml:space="preserve">Zitiervorschlag: § 2 ACHTZEHNTER_RUNDFUNKAEND_STV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https://recht.nulegal.eu/gesetze/ACHTZEHNTER_RUNDFUNKAEND_STV/2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