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ABOB (Bayern)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und des Art. 32 Abs. 5 Satz 6 des Bayerischen Hochschulgesetzes sowie des Art. 25 Abs. 1 Satz 1 Nr. 1 des Kostengesetzes erläßt das Bayerische Staatsministerium für Unterricht, Kultus, Wissenschaft und Kunst soweit erforderlich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