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ABOB (Bayern) — Inkrafttreten, Außerkrafttreten</w:t>
      </w:r>
    </w:p>
    <w:p>
      <w:r>
        <w:rPr>
          <w:color w:val="555555"/>
          <w:sz w:val="18"/>
        </w:rPr>
        <w:t xml:space="preserve">Allgemeine Benützungsordnung der Bayerischen Staatlichen Bibliotheken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Oktober 1993 in Kraft.</w:t>
      </w:r>
    </w:p>
    <w:p>
      <w:r>
        <w:t xml:space="preserve">(2) Gleichzeitig tritt die Allgemeine Benützungsordnung der Bayerischen Staatlichen Bibliotheken (ABOB) vom 30. November 1966 (BayRS 2240-3-K) außer Kraft.</w:t>
      </w:r>
    </w:p>
    <w:p>
      <w:r>
        <w:rPr>
          <w:color w:val="555555"/>
          <w:sz w:val="17"/>
        </w:rPr>
        <w:t xml:space="preserve">Zitiervorschlag: § 28 ABOB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https://recht.nulegal.eu/gesetze/ABOB/28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