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ABOB (Bayern) — Vormerkung</w:t>
      </w:r>
    </w:p>
    <w:p>
      <w:r>
        <w:rPr>
          <w:color w:val="555555"/>
          <w:sz w:val="18"/>
        </w:rPr>
        <w:t xml:space="preserve">Allgemeine Benützungsordnung der Bayerischen Staatlichen Bibliotheken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Verliehene Werke können für die Ausleihe vorgemerkt werden. Die Bibliothek ist nicht verpflichtet, auf ein Werk mehr als eine Vormerkung anzunehmen.</w:t>
      </w:r>
    </w:p>
    <w:p>
      <w:r>
        <w:t xml:space="preserve">(2) Auskunft über Besteller oder Entleiher darf nur mit deren Einwilligung erteilt werden.</w:t>
      </w:r>
    </w:p>
    <w:p>
      <w:r>
        <w:rPr>
          <w:color w:val="555555"/>
          <w:sz w:val="17"/>
        </w:rPr>
        <w:t xml:space="preserve">Zitiervorschlag: § 17 ABOB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https://recht.nulegal.eu/gesetze/ABOB/17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