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ABKGSCHMEDPRO_G_2012 (Brandenburg)</w:t>
      </w:r>
    </w:p>
    <w:p>
      <w:r>
        <w:rPr>
          <w:color w:val="555555"/>
          <w:sz w:val="18"/>
        </w:rPr>
        <w:t xml:space="preserve">Gesetz zu dem Zweiten Abkommen zur Änderung des Abkommens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Artikel II in Kraft tritt, ist im Gesetz- und Verordnungsblatt für das Land Brandenburg Teil I bekannt zu geben.</w:t>
      </w:r>
    </w:p>
    <w:p>
      <w:r>
        <w:t xml:space="preserve">Potsdam, den 16. April 2012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ABKGSCHMEDPRO_G_2012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https://recht.nulegal.eu/gesetze/ABKGSCHMEDPRO_G_2012/2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