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ABBergV — Unterrichtung, Unterweisung, Anhörung</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Der Unternehmer hat Beschäftigte vor Beginn der Beschäftigung und bei Veränderungen in ihren Arbeitsbereichen über Gefahren für Sicherheit und Gesundheit, denen sie bei der jeweiligen Arbeit ausgesetzt sein können, sowie über die Maßnahmen und Vorkehrungen zur Abwendung dieser Gefahren und über Notfall- und Erste-Hilfe-Maßnahmen verständlich zu unterrichten.</w:t>
      </w:r>
    </w:p>
    <w:p>
      <w:r>
        <w:t xml:space="preserve">(2) Darüber hinaus hat der Unternehmer die Beschäftigten über Sicherheit und Gesundheitsschutz während ihrer Arbeitszeit ausreichend, angemessen und verständlich nach Maßgabe der Sätze 2 und 3 mit dem Ziel zu unterweisen, daß sie alle in ihren Arbeitsbereichen in Betracht kommenden Gefahren erkennen und den Gefahren in angemessener Weise begegnen können. Die Unterweisung umfaßt Anweisungen und Erläuterungen, die eigens auf den Arbeitsplatz oder den Aufgabenbereich der Beschäftigten ausgerichtet sind. Sie muß bei der Einstellung, einer Versetzung oder Veränderungen im Aufgabenbereich, nach unvorhergesehenen Ereignissen, der Einführung oder Änderung von Arbeitsmitteln oder der Einführung einer neuen Technologie vor Aufnahme der Tätigkeit der Beschäftigten erfolgen und an die Entwicklung der Gefahren angepaßt sein. Der Unternehmer hat entsprechend dem Ergebnis der Beurteilung von Gefährdungen nach § 3 Abs. 1 Satz 5 Nr. 1 festzulegen, in welchen Fällen die Unterweisung in angemessenen Zeitabständen zu wiederholen sowie durch praktische Übungen zu ergänzen ist. Über ihre Durchführung sollen Aufzeichnungen geführt werden.</w:t>
      </w:r>
    </w:p>
    <w:p>
      <w:r>
        <w:t xml:space="preserve">(3) Besteht kein Betriebsrat, hat der Unternehmer die Beschäftigten zu allen Aktivitäten anzuhören, die Auswirkungen auf ihre Sicherheit und Gesundheit haben können. Anzuhören sind die Beschäftigten insbesondere auch zu für sie wichtigen Festlegungen im Sicherheits- und Gesundheitsschutzdokument nach § 3 sowie zu Fragen der Unterrichtung und Unterweisung nach den Absätzen 1 und 2.</w:t>
      </w:r>
    </w:p>
    <w:p>
      <w:r>
        <w:rPr>
          <w:color w:val="555555"/>
          <w:sz w:val="17"/>
        </w:rPr>
        <w:t xml:space="preserve">Zitiervorschlag: § 6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