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ABBergV — Gegenstandslose landesrechtliche Vorschriften</w:t>
      </w:r>
    </w:p>
    <w:p>
      <w:r>
        <w:rPr>
          <w:color w:val="555555"/>
          <w:sz w:val="18"/>
        </w:rPr>
        <w:t xml:space="preserve">Allgemeine Bundesbergverordnung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Wirtschaft gibt im Bundesanzeiger bekannt, welche landesrechtlichen Vorschriften gegenstandslos werden.</w:t>
      </w:r>
    </w:p>
    <w:p>
      <w:r>
        <w:rPr>
          <w:color w:val="555555"/>
          <w:sz w:val="17"/>
        </w:rPr>
        <w:t xml:space="preserve">Zitiervorschlag: § 25 ABBergV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https://recht.nulegal.eu/gesetze/ABBergV/25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