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ABBergV — Sicherheits- oder Gesundheitsschutzkennzeichnung</w:t>
      </w:r>
    </w:p>
    <w:p>
      <w:r>
        <w:rPr>
          <w:color w:val="555555"/>
          <w:sz w:val="18"/>
        </w:rPr>
        <w:t xml:space="preserve">Allgemeine Bundesbergverordnung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zu gewährleisten, daß Risiken und Gefahren für Sicherheit und Gesundheit an Arbeitsplätzen unter Berücksichtigung des Ergebnisses der Beurteilung von Gefährdungen nach § 3 Abs. 1 Satz 5 Nr. 1 gekennzeichnet werden, sofern die Risiken und Gefahren nicht durch allgemeine technische Schutzmittel oder durch arbeitsorganisatorische Maßnahmen, Methoden oder Verfahren vermieden oder ausreichend begrenzt werden können. Die Sicherheits- oder Gesundheitsschutzkennzeichnung muß den Anforderungen des Anhangs 4 entsprechen.</w:t>
      </w:r>
    </w:p>
    <w:p>
      <w:r>
        <w:t xml:space="preserve">(2) Unbeschadet von Absatz 1 ist die für den Straßen-, Eisenbahn-, Binnenschiffs-, See- und Luftverkehr geltende Kennzeichnung innerhalb von Betrieben zu verwenden.</w:t>
      </w:r>
    </w:p>
    <w:p>
      <w:r>
        <w:t xml:space="preserve">(3) Die Sicherheits- oder Gesundheitsschutzkennzeichnung, die bereits vor dem 24. Juni 1994 an Arbeitsplätzen verwendet wurde, muß spätestens bis zum 24. Dezember 1996 den Mindestvorschriften nach Absatz 1 Satz 2 entsprechen.</w:t>
      </w:r>
    </w:p>
    <w:p>
      <w:r>
        <w:rPr>
          <w:color w:val="555555"/>
          <w:sz w:val="17"/>
        </w:rPr>
        <w:t xml:space="preserve">Zitiervorschlag: § 19 ABBergV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https://recht.nulegal.eu/gesetze/ABBergV/19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