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ABBergV — Sachliche und räumliche Anwendung</w:t>
      </w:r>
    </w:p>
    <w:p>
      <w:r>
        <w:rPr>
          <w:color w:val="555555"/>
          <w:sz w:val="18"/>
        </w:rPr>
        <w:t xml:space="preserve">Allgemeine Bundesbergverordnung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die Sicherheit und den Gesundheitsschutz sowie den Umweltschutz bei</w:t>
      </w:r>
    </w:p>
    <w:p>
      <w:pPr>
        <w:ind w:left="420"/>
      </w:pPr>
      <w:r>
        <w:t xml:space="preserve">1. dem Aufsuchen, Gewinnen und Aufbereiten von Bodenschätzen und der damit zusammenhängenden Wiedernutzbarmachung der Oberfläche,</w:t>
      </w:r>
    </w:p>
    <w:p>
      <w:pPr>
        <w:ind w:left="420"/>
      </w:pPr>
      <w:r>
        <w:t xml:space="preserve">2. dem Aufsuchen und Gewinnen mineralischer Rohstoffe in alten Halden,</w:t>
      </w:r>
    </w:p>
    <w:p>
      <w:pPr>
        <w:ind w:left="420"/>
      </w:pPr>
      <w:r>
        <w:t xml:space="preserve">3. der Untergrundspeicherung,</w:t>
      </w:r>
    </w:p>
    <w:p>
      <w:pPr>
        <w:ind w:left="420"/>
      </w:pPr>
      <w:r>
        <w:t xml:space="preserve">4. Tätigkeiten in Versuchsgruben und sonstigen bergbaulichen Versuchsanstalten,</w:t>
      </w:r>
    </w:p>
    <w:p>
      <w:pPr>
        <w:ind w:left="420"/>
      </w:pPr>
      <w:r>
        <w:t xml:space="preserve">5. Einrichtungen, die überwiegend Tätigkeiten nach den Nummern 1 bis 4 dienen oder zu dienen bestimmt sind,</w:t>
      </w:r>
    </w:p>
    <w:p>
      <w:r>
        <w:t xml:space="preserve">auf dem Festland sowie im Bereich des Festlandsockels und der Küstengewässer. Die §§ 2 bis 22 und 23 sind auch für Anlagen zur Lagerung, Sicherstellung und Endlagerung radioaktiver Stoffe nach § 126 Absatz 3 des Bundesberggesetzes anzuwenden.</w:t>
      </w:r>
    </w:p>
    <w:p>
      <w:r>
        <w:rPr>
          <w:color w:val="555555"/>
          <w:sz w:val="17"/>
        </w:rPr>
        <w:t xml:space="preserve">Zitiervorschlag: § 1 ABBergV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https://recht.nulegal.eu/gesetze/ABBergV/1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