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ABBV</w:t>
      </w:r>
    </w:p>
    <w:p>
      <w:r>
        <w:rPr>
          <w:color w:val="555555"/>
          <w:sz w:val="18"/>
        </w:rPr>
        <w:t xml:space="preserve">Ablösungsbeträge-Berechnungsverordnung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Verkehr, Bau und Stadtentwicklung verordnet auf Grund</w:t>
      </w:r>
    </w:p>
    <w:p>
      <w:pPr>
        <w:ind w:left="420"/>
      </w:pPr>
      <w:r>
        <w:t xml:space="preserve">– des § 16 Absatz 1 Nummer 3 des Eisenbahnkreuzungsgesetzes in der Fassung der Bekanntmachung vom 21. März 1971 (BGBl. I S. 337), der zuletzt durch Artikel 2 des Gesetzes vom 22. April 2005 (BGBl. I S. 1128) geändert worden ist,</w:t>
      </w:r>
    </w:p>
    <w:p>
      <w:pPr>
        <w:ind w:left="420"/>
      </w:pPr>
      <w:r>
        <w:t xml:space="preserve">– des § 13b Nummer 3 des Bundesfernstraßengesetzes in der Fassung der Bekanntmachung vom 28. Juni 2007 (BGBl. I S. 1206) und</w:t>
      </w:r>
    </w:p>
    <w:p>
      <w:pPr>
        <w:ind w:left="420"/>
      </w:pPr>
      <w:r>
        <w:t xml:space="preserve">– des § 42 Absatz 4a Satz 2 des Bundeswasserstraßengesetzes in der Fassung der Bekanntmachung vom 23. Mai 2007 (BGBl. I S. 962; 2008 I S. 1980):</w:t>
      </w:r>
    </w:p>
    <w:p>
      <w:r>
        <w:rPr>
          <w:color w:val="555555"/>
          <w:sz w:val="17"/>
        </w:rPr>
        <w:t xml:space="preserve">Zitiervorschlag: Eingangsformel ABBV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