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ABBV — Übergangsregelung</w:t>
      </w:r>
    </w:p>
    <w:p>
      <w:r>
        <w:rPr>
          <w:color w:val="555555"/>
          <w:sz w:val="18"/>
        </w:rPr>
        <w:t xml:space="preserve">Ablösungsbeträge-Berechnungsverordnung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Für Maßnahmen, über die die Beteiligten nach § 1 Absatz 6 des Eisenbahnkreuzungsgesetzes vor dem Ablauf des 1. Juli 2021 eine Vereinbarung getroffen haben, ist diese Verordnung in der bis zum Ablauf des 30. Juni 2021 geltenden Fassung weiterhin anzuwenden.</w:t>
      </w:r>
    </w:p>
    <w:p>
      <w:r>
        <w:rPr>
          <w:color w:val="555555"/>
          <w:sz w:val="17"/>
        </w:rPr>
        <w:t xml:space="preserve">Zitiervorschlag: § 4 ABBV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