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ABBV — Inkrafttreten</w:t>
      </w:r>
    </w:p>
    <w:p>
      <w:r>
        <w:rPr>
          <w:color w:val="555555"/>
          <w:sz w:val="18"/>
        </w:rPr>
        <w:t xml:space="preserve">Ablösungsbeträge-Berechnungsverordnung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ABBV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