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ABBV — Anwendungsbereich</w:t>
      </w:r>
    </w:p>
    <w:p>
      <w:r>
        <w:rPr>
          <w:color w:val="555555"/>
          <w:sz w:val="18"/>
        </w:rPr>
        <w:t xml:space="preserve">Ablösungsbeträge-Berechnungsverordnung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Berechnung der zu leistenden Ablösungsbeträge nach den Vorschriften des Eisenbahnkreuzungsgesetzes, des Bundesfernstraßengesetzes und des Bundeswasserstraßengesetzes.</w:t>
      </w:r>
    </w:p>
    <w:p>
      <w:r>
        <w:t xml:space="preserve">(2) Erhaltungskosten (Unterhaltungs- und Erneuerungskosten) im Sinne dieser Verordnung entsprechen den Erhaltungs- und Betriebskosten im Sinne des Eisenbahnkreuzungsgesetzes sowie den Unterhaltungskosten im Sinne des Bundesfernstraßengesetzes und des Bundeswasserstraßengesetzes.</w:t>
      </w:r>
    </w:p>
    <w:p>
      <w:r>
        <w:rPr>
          <w:color w:val="555555"/>
          <w:sz w:val="17"/>
        </w:rPr>
        <w:t xml:space="preserve">Zitiervorschlag: § 1 ABBV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