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ABAMVerwV — Ermittlung der bundesweiten Kennzahlen</w:t>
      </w:r>
    </w:p>
    <w:p>
      <w:r>
        <w:rPr>
          <w:color w:val="555555"/>
          <w:sz w:val="18"/>
        </w:rPr>
        <w:t xml:space="preserve">Antibiotika-Arzneimittel-Verwendungsverordnung</w:t>
      </w:r>
    </w:p>
    <w:p>
      <w:r>
        <w:rPr>
          <w:color w:val="555555"/>
          <w:sz w:val="18"/>
        </w:rPr>
        <w:t xml:space="preserve">Stand: 10.01.2023 (konsolidierte Textfassung, kein amtliches Inkrafttretensdatum)</w:t>
      </w:r>
    </w:p>
    <w:p>
      <w:r>
        <w:t xml:space="preserve">Die bundesweiten jährlichen Kennzahlen nach § 57 Absatz 6 Satz 1 des Tierarzneimittelgesetzes sind vom Bundesamt für Verbraucherschutz und Lebensmittelsicherheit nach den in der Anlage aufgeführten Anforderungen und Einzelheiten zu berechnen.</w:t>
      </w:r>
    </w:p>
    <w:p>
      <w:r>
        <w:rPr>
          <w:color w:val="555555"/>
          <w:sz w:val="17"/>
        </w:rPr>
        <w:t xml:space="preserve">Zitiervorschlag: § 3 ABAMVerwV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https://recht.nulegal.eu/gesetze/ABAMVerwV/3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