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ABAMVerwV — Mitteilungen nach §§ 55 und 56 des Tierarzneimittelgesetzes</w:t>
      </w:r>
    </w:p>
    <w:p>
      <w:r>
        <w:rPr>
          <w:color w:val="555555"/>
          <w:sz w:val="18"/>
        </w:rPr>
        <w:t xml:space="preserve">Antibiotika-Arzneimittel-Verwendungsverordnung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Für die elektronische Mitteilung ist die von der zuständigen Behörde zur Verfügung gestellte digitale Datei zu verwenden.</w:t>
      </w:r>
    </w:p>
    <w:p>
      <w:r>
        <w:rPr>
          <w:color w:val="555555"/>
          <w:sz w:val="17"/>
        </w:rPr>
        <w:t xml:space="preserve">Zitiervorschlag: § 1 ABAMVerwV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https://recht.nulegal.eu/gesetze/ABAMVerwV/1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