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ABAG — Übergangsregelung für die Prüfungen ärztlich verordneter Leistungen nach § 106 Abs. 2 Nr. 1 des Fünften Buches Sozialgesetzbuch in den Jahren 2002 und 2003</w:t>
      </w:r>
    </w:p>
    <w:p>
      <w:r>
        <w:rPr>
          <w:color w:val="555555"/>
          <w:sz w:val="18"/>
        </w:rPr>
        <w:t xml:space="preserve">Arzneimittelbudget-Ablösungsgesetz</w:t>
      </w:r>
    </w:p>
    <w:p>
      <w:r>
        <w:rPr>
          <w:color w:val="555555"/>
          <w:sz w:val="18"/>
        </w:rPr>
        <w:t xml:space="preserve">Stand: 10.06.2019 (konsolidierte Textfassung, kein amtliches Inkrafttretensdatum)</w:t>
      </w:r>
    </w:p>
    <w:p>
      <w:r>
        <w:t xml:space="preserve">Prüfungen nach Richtgrößen im Jahr 2002 erfolgen entsprechend § 106 Abs. 5a des Fünften Buches Sozialgesetzbuch in der Fassung dieses Gesetzes auf der Grundlage der Richtgrößenvereinbarungen nach § 84 Abs. 3 des Fünften Buches Sozialgesetzbuch in der bis zum Inkrafttreten dieses Gesetzes geltenden Fassung. Liegen die erforderlichen Voraussetzungen für die Prüfungen nach Satz 1 nicht vor, sind im Jahr 2002 getrennt Prüfungen ärztlich verordneter Arznei- und Verbandmittel sowie ärztlich verordneter Heilmittel nach Durchschnittswerten gemäß § 106 Abs. 1 bis 5 des Fünften Buches Sozialgesetzbuch und der dazu getroffenen Vereinbarungen im gebotenen Umfang durchzuführen. Abweichend von § 106 Abs. 2 Satz 6 des Fünften Buches Sozialgesetzbuch können bis zum 31. Dezember 2003 Prüfungen ärztlich verordneter Arznei- und Verbandmittel sowie ärztlich verordneter Heilmittel nach Durchschnittswerten zusätzlich zu Prüfungen nach Richtgrößen durchgeführt werden. Die Klage gegen die Entscheidung des Beschwerdeausschusses hat keine aufschiebende Wirkung. Führen jeweils beide Prüfungsverfahren zu Erstattungsansprüchen der Krankenkassen, verringert sich der Erstattungsbetrag im Rahmen der Prüfung nach Richtgrößen um den im Rahmen der Prüfung nach Durchschnittswerten festgesetzten Betrag.</w:t>
      </w:r>
    </w:p>
    <w:p>
      <w:r>
        <w:rPr>
          <w:color w:val="555555"/>
          <w:sz w:val="17"/>
        </w:rPr>
        <w:t xml:space="preserve">Zitiervorschlag: § 2 ABAG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https://recht.nulegal.eu/gesetze/ABAG/2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