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ABüFöG — Außerkrafttreten</w:t>
      </w:r>
    </w:p>
    <w:p>
      <w:r>
        <w:rPr>
          <w:color w:val="555555"/>
          <w:sz w:val="18"/>
        </w:rPr>
        <w:t xml:space="preserve">Gesetz zur befristeten Förderung einer Aktivierung des Bauüberhangs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Dieses Gesetz tritt mit Ablauf des 31. Dezember 2026 außer Kraft.</w:t>
      </w:r>
    </w:p>
    <w:p>
      <w:r>
        <w:rPr>
          <w:color w:val="555555"/>
          <w:sz w:val="17"/>
        </w:rPr>
        <w:t xml:space="preserve">Zitiervorschlag: § 2 ABüFöG</w:t>
      </w:r>
    </w:p>
    <w:p>
      <w:r>
        <w:rPr>
          <w:color w:val="555555"/>
          <w:sz w:val="17"/>
        </w:rPr>
        <w:t xml:space="preserve">Quelle: Bundesamt für Justiz, abgerufen 28.07.2026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https://recht.nulegal.eu/gesetze/AB%C3%BCF%C3%B6G/2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