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ABÜV (Brandenburg) — Inkrafttreten</w:t>
      </w:r>
    </w:p>
    <w:p>
      <w:r>
        <w:rPr>
          <w:color w:val="555555"/>
          <w:sz w:val="18"/>
        </w:rPr>
        <w:t xml:space="preserve">Archiv- und Bibliotheksaufgabenübertragungsverordnung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März 2016 in Kraft.</w:t>
      </w:r>
    </w:p>
    <w:p>
      <w:r>
        <w:t xml:space="preserve">Einzelnorm</w:t>
      </w:r>
    </w:p>
    <w:p>
      <w:r>
        <w:t xml:space="preserve">Potsdam, den 1. Februar 2016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Prof. Dr.-Ing. Dr. Sabine Kunst</w:t>
      </w:r>
    </w:p>
    <w:p>
      <w:r>
        <w:rPr>
          <w:color w:val="555555"/>
          <w:sz w:val="17"/>
        </w:rPr>
        <w:t xml:space="preserve">Zitiervorschlag: § 4 ABÜV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https://recht.nulegal.eu/gesetze/AB%C3%9CV/4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