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ABÜV (Brandenburg) — Aufgabenübertragung</w:t>
      </w:r>
    </w:p>
    <w:p>
      <w:r>
        <w:rPr>
          <w:color w:val="555555"/>
          <w:sz w:val="18"/>
        </w:rPr>
        <w:t xml:space="preserve">Archiv- und Bibliotheksaufgabenübertragungsverordnung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Fachhochschule Potsdam werden folgende Aufgaben übertragen:</w:t>
      </w:r>
    </w:p>
    <w:p>
      <w:r>
        <w:t xml:space="preserve">Unterstützung der Archive im Sinne von § 14 Absatz 5 Satz 2 Nummer 1 bis 3 des Brandenburgischen Archivgesetzes vom 7. April 1994 (GVBl. I S. 94), das durch Artikel 23 des Gesetzes vom 13. März 2012 (GVBl. I Nr. 16) geändert worden ist, und der Öffentlichen Bibliotheken im Land Brandenburg insbesondere durch</w:t>
      </w:r>
    </w:p>
    <w:p>
      <w:r>
        <w:t xml:space="preserve">konzeptionelle Beratung und Wissenstransfer sowie</w:t>
      </w:r>
    </w:p>
    <w:p>
      <w:r>
        <w:t xml:space="preserve">Entwicklung und Weiterentwicklung von Konzepten und Methoden für die Archiv- und Bibliothekspraxis;</w:t>
      </w:r>
    </w:p>
    <w:p>
      <w:r>
        <w:t xml:space="preserve">Förderung der Kooperation zwischen den Öffentlichen Bibliotheken der Länder Brandenburg und Berlin.</w:t>
      </w:r>
    </w:p>
    <w:p>
      <w:r>
        <w:t xml:space="preserve">(2) Die für Hochschulen zuständige oberste Landesbehörde regelt im Einvernehmen mit der für Kultur zuständigen obersten Landesbehörde und im Benehmen mit der Hochschule die Einzelheiten und Konkretisierungen der Aufgabenübertragung durch Organisationserlass.</w:t>
      </w:r>
    </w:p>
    <w:p>
      <w:r>
        <w:t xml:space="preserve">(3) Die Hochschule gestaltet die Art und Weise der Aufgabenwahrnehmung im Einzelnen durch Satzung aus.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ABÜV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https://recht.nulegal.eu/gesetze/AB%C3%9CV/2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