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ABÜV (Brandenburg) — Geltungsbereich</w:t>
      </w:r>
    </w:p>
    <w:p>
      <w:r>
        <w:rPr>
          <w:color w:val="555555"/>
          <w:sz w:val="18"/>
        </w:rPr>
        <w:t xml:space="preserve">Archiv- und Bibliotheksaufgabenübertragungsverordnung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regelt die Übertragung von Aufgaben auf Hochschulen im Archiv- und Bibliotheksbereich.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ABÜV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https://recht.nulegal.eu/gesetze/AB%C3%9CV/1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