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AAppO</w:t>
      </w:r>
    </w:p>
    <w:p>
      <w:r>
        <w:rPr>
          <w:color w:val="555555"/>
          <w:sz w:val="18"/>
        </w:rPr>
        <w:t xml:space="preserve">Approbationsordnung für Apotheker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5 der Bundes-Apothekerordnung vom 5. Juni 1968 (BGBl. I S. 601), dessen Absatz 1 durch Artikel 1 Nr. 2 des Gesetzes vom 19. Juni 1989 (BGBl. I S. 1106) neugefaßt und dessen Absatz 2 durch Artikel 1 Nr. 2 Buchstabe b des Gesetzes vom 23. Juli 1988 (BGBl. I S. 1077) eingefügt worden ist, sowie des § 14 Abs. 3 der Bundes-Apothekerordnung, der durch Artikel 23 des Gesetzes vom 25. Juni 1969 (BGBl. I S. 645) geändert worden ist, wird verordnet:</w:t>
      </w:r>
    </w:p>
    <w:p>
      <w:r>
        <w:rPr>
          <w:color w:val="555555"/>
          <w:sz w:val="17"/>
        </w:rPr>
        <w:t xml:space="preserve">Zitiervorschlag: Eingangsformel AAppO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https://recht.nulegal.eu/gesetze/AAppO/eingangsformel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