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17 AAppO — (zu § 22a Absatz 7) Erlaubnis nach § 11 Absatz 1 oder Absatz 1a der Bundes-Apothekerordnung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Herrn/Frau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(Vorname, Familienname – gegebenenfalls abweichender Geburtsname)</w:t>
      </w:r>
    </w:p>
    <w:p>
      <w:r>
        <w:rPr>
          <w:rFonts w:ascii="Courier New" w:hAnsi="Courier New"/>
          <w:sz w:val="17"/>
        </w:rPr>
        <w:t xml:space="preserve">geboren am . . . . . . . . . . . . . . . . . . . . . . . . . . . . . .    in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wird gemäß § 11 Absatz 1/1a der Bundes-Apothekerordnung die Erlaubnis zur vorübergehenden Ausübung desApothekerberufs in/an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für die Zeit vom . . . . . . . . . . . . . . . . . . . . . . . . . . . . . . . . . . . . . . . . . . . . . . . . . .    bis . . . . . . . . . . . . . . . . . . . . . . . . . . . . . . . . . . . . . . . . widerruflich erteilt.</w:t>
      </w:r>
    </w:p>
    <w:p>
      <w:r>
        <w:rPr>
          <w:rFonts w:ascii="Courier New" w:hAnsi="Courier New"/>
          <w:sz w:val="17"/>
        </w:rPr>
        <w:t xml:space="preserve">Beschränkungen und Nebenbestimmungen: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Die Erlaubnis umfasst zudem die Tätigkeit im Land . . . . . . . . . . /in den Ländern . . . . . . . . . . /bundesweite Tätigkeit[*] als . . . . . . . . . . . . . . . . . . . . . . . . . . . . . .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 . . . . . . . . . . . . . . . . . . . . . . . . . . . . . , den . . . . . . . . . . . . . . . . . . . . . . . . . . . . . .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(Unterschrift)    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17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