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AAVBestV (Brandenburg)</w:t>
      </w:r>
    </w:p>
    <w:p>
      <w:r>
        <w:rPr>
          <w:color w:val="555555"/>
          <w:sz w:val="18"/>
        </w:rPr>
        <w:t xml:space="preserve">Amtszeit- und Altersvoraussetzungsbestimmungsverordnung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mit Wirkung vom 6. Dezember 1993 in Kraft.</w:t>
      </w:r>
    </w:p>
    <w:p>
      <w:r>
        <w:t xml:space="preserve">Potsdam, den 1. Februar 1995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AAVBestV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https://recht.nulegal.eu/gesetze/AAVBestV/2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