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AAV (Bayern)</w:t>
      </w:r>
    </w:p>
    <w:p>
      <w:r>
        <w:rPr>
          <w:color w:val="555555"/>
          <w:sz w:val="18"/>
        </w:rPr>
        <w:t xml:space="preserve">Artenschutzrechtliche Ausnahmeverordnung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43 Abs. 8 Sätze 1, 4 und 5 des Gesetzes über Naturschutz und Landschaftspflege (Bundesnaturschutzgesetz – BNatSchG) vom 25. März 2002 (BGBl I S. 1193), zuletzt geändert durch Art. 2 des Gesetzes vom 8. April 2008 (BGBl I S. 686), erlässt die Bayerische Staatsregierung folgende Verordnung:</w:t>
      </w:r>
    </w:p>
    <w:p>
      <w:r>
        <w:rPr>
          <w:color w:val="555555"/>
          <w:sz w:val="17"/>
        </w:rPr>
        <w:t xml:space="preserve">Zitiervorschlag: Eingangsformel AAV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