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AAV (Bayern) — Inkrafttreten, Außerkrafttreten</w:t>
      </w:r>
    </w:p>
    <w:p>
      <w:r>
        <w:rPr>
          <w:color w:val="555555"/>
          <w:sz w:val="18"/>
        </w:rPr>
        <w:t xml:space="preserve">Artenschutzrechtliche Ausnahmeverordnung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 Verordnung tritt am 16. Juli 2008 in Kraft. Sie tritt mit Ablauf des 15. Juli 2027 außer Kraft.</w:t>
      </w:r>
    </w:p>
    <w:p>
      <w:r>
        <w:rPr>
          <w:color w:val="555555"/>
          <w:sz w:val="17"/>
        </w:rPr>
        <w:t xml:space="preserve">Zitiervorschlag: § 5 AAV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https://recht.nulegal.eu/gesetze/AAV/5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