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III. AARKZustAnO</w:t>
      </w:r>
    </w:p>
    <w:p>
      <w:r>
        <w:rPr>
          <w:color w:val="555555"/>
          <w:sz w:val="18"/>
        </w:rPr>
        <w:t xml:space="preserve">Anordnung zur Übertragung von Zuständigkeiten für den Erlass von Widerspruchsbescheiden und für die Vertretung des Dienstherrn bei Klagen von Beschäftigten des Auswärtigen Amts in Reisekostenangelegenheiten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Anordnung tritt mit Wirkung vom 1. Juli 2012 in Kraft.</w:t>
      </w:r>
    </w:p>
    <w:p>
      <w:r>
        <w:rPr>
          <w:color w:val="555555"/>
          <w:sz w:val="17"/>
        </w:rPr>
        <w:t xml:space="preserve">Zitiervorschlag: III. AARKZustAnO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https://recht.nulegal.eu/gesetze/AARKZustAnO/iii.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