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AABeamtWidAnO</w:t>
      </w:r>
    </w:p>
    <w:p>
      <w:r>
        <w:rPr>
          <w:color w:val="555555"/>
          <w:sz w:val="18"/>
        </w:rPr>
        <w:t xml:space="preserve">Anordnung zur Übertragung der Zuständigkeit für den Erlass von Widerspruchsbescheiden aus dem Beamtenverhältnis bezüglich Beamtinnen und Beamten des Auswärtigen Amtes auf das Bundesamt für Auswärtige Angelegenheiten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Das Auswärtige Amt ordnet nach § 126 Absatz 3 Satz 3 des Bundesbeamtengesetzes vom 5. Februar 2009 (BGBl. I S. 160) an:</w:t>
      </w:r>
    </w:p>
    <w:p>
      <w:r>
        <w:rPr>
          <w:color w:val="555555"/>
          <w:sz w:val="17"/>
        </w:rPr>
        <w:t xml:space="preserve">Zitiervorschlag: Eingangsformel AABeamtWidAnO</w:t>
      </w:r>
    </w:p>
    <w:p>
      <w:r>
        <w:rPr>
          <w:color w:val="555555"/>
          <w:sz w:val="17"/>
        </w:rPr>
        <w:t xml:space="preserve">Quelle: Bundesamt für Justiz, abgerufen 22.07.2026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https://recht.nulegal.eu/gesetze/AABeamtWidAnO/eingangsformel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