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AABGebV — Zeitgebühr</w:t>
      </w:r>
    </w:p>
    <w:p>
      <w:r>
        <w:rPr>
          <w:color w:val="555555"/>
          <w:sz w:val="18"/>
        </w:rPr>
        <w:t xml:space="preserve">Besondere Gebührenverordnung AA</w:t>
      </w:r>
    </w:p>
    <w:p>
      <w:r>
        <w:rPr>
          <w:color w:val="555555"/>
          <w:sz w:val="18"/>
        </w:rPr>
        <w:t xml:space="preserve">Stand: 01.10.2021 (konsolidierte Textfassung, kein amtliches Inkrafttretensdatum)</w:t>
      </w:r>
    </w:p>
    <w:p>
      <w:r>
        <w:t xml:space="preserve">Richtet sich die Gebühr im Gebühren- und Auslagenverzeichnis nach dem Zeitaufwand, so berechnet sich die Zeitgebühr (§ 11 Nummer 2 des Bundesgebührengesetzes) nach dem Abrechnungsbogen in Anlage 3. Dieser Berechnung sind die in Anlage 2 bestimmten besonderen pauschalen Stundensätze zugrunde zu legen.</w:t>
      </w:r>
    </w:p>
    <w:p>
      <w:r>
        <w:rPr>
          <w:color w:val="555555"/>
          <w:sz w:val="17"/>
        </w:rPr>
        <w:t xml:space="preserve">Zitiervorschlag: § 3 AABGebV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https://recht.nulegal.eu/gesetze/AABGebV/3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