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AABGebV — Höhe der Gebühren und Auslagen</w:t>
      </w:r>
    </w:p>
    <w:p>
      <w:r>
        <w:rPr>
          <w:color w:val="555555"/>
          <w:sz w:val="18"/>
        </w:rPr>
        <w:t xml:space="preserve">Besondere Gebührenverordnung AA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Höhe der Gebühren und Auslagen richtet sich nach dem in der Anlage 1 aufgeführten Gebühren- und Auslagenverzeichnis.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AABGebV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