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AABGebV — Erhebung von Gebühren und Auslagen</w:t>
      </w:r>
    </w:p>
    <w:p>
      <w:r>
        <w:rPr>
          <w:color w:val="555555"/>
          <w:sz w:val="18"/>
        </w:rPr>
        <w:t xml:space="preserve">Besondere Gebührenverordnung AA</w:t>
      </w:r>
    </w:p>
    <w:p>
      <w:r>
        <w:rPr>
          <w:color w:val="555555"/>
          <w:sz w:val="18"/>
        </w:rPr>
        <w:t xml:space="preserve">Stand: 01.10.2021 (konsolidierte Textfassung, kein amtliches Inkrafttretensdatum)</w:t>
      </w:r>
    </w:p>
    <w:p>
      <w:r>
        <w:t xml:space="preserve">(1) Im Zuständigkeitsbereich des Auswärtigen Dienstes werden Gebühren und Auslagen für individuell zurechenbare öffentliche Leistungen erhoben, die auf Grund des Konsulargesetzes erbracht werden. Der Zuständigkeitsbereich des Auswärtigen Dienstes umfasst das Auswärtige Amt, die Auslandsvertretungen, die Honorarkonsularbeamten und das Bundesamt für Auswärtige Angelegenheiten.</w:t>
      </w:r>
    </w:p>
    <w:p>
      <w:r>
        <w:t xml:space="preserve">(2) Bestimmt sich die Gebühr für die individuell zurechenbare Leistung nach dem Gebühren- und Auslagenverzeichnis in Anlage 1, sind Auslagen mit der Gebühr abgegolten, sofern sie nicht im Gebühren- und Auslagenverzeichnis gesondert aufgeführt sind.</w:t>
      </w:r>
    </w:p>
    <w:p>
      <w:r>
        <w:t xml:space="preserve">(3) Bestimmt sich die Gebühr für die individuell zurechenbare Leistung nach einer anderen Rechtsvorschrift, sind Auslagen der Auslandsvertretung und des Honorarkonsularbeamten auch dann zu erheben, wenn die andere Rechtsvorschrift für Inlandsbehörden eine Auslagenerhebung nicht vorsieht.</w:t>
      </w:r>
    </w:p>
    <w:p>
      <w:r>
        <w:rPr>
          <w:color w:val="555555"/>
          <w:sz w:val="17"/>
        </w:rPr>
        <w:t xml:space="preserve">Zitiervorschlag: § 1 AABGebV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https://recht.nulegal.eu/gesetze/AABGebV/1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