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AABG — Inkrafttreten</w:t>
      </w:r>
    </w:p>
    <w:p>
      <w:r>
        <w:rPr>
          <w:color w:val="555555"/>
          <w:sz w:val="18"/>
        </w:rPr>
        <w:t xml:space="preserve">Arzneimittelausgaben-Begrenzungsgesetz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Gesetz tritt am Tag nach der Verkündung in Kraft.</w:t>
      </w:r>
    </w:p>
    <w:p>
      <w:r>
        <w:t xml:space="preserve">(2)</w:t>
      </w:r>
    </w:p>
    <w:p>
      <w:r>
        <w:rPr>
          <w:color w:val="555555"/>
          <w:sz w:val="17"/>
        </w:rPr>
        <w:t xml:space="preserve">Zitiervorschlag: Art 4 AABG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https://recht.nulegal.eu/gesetze/AABG/4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