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AAÜbertrAnO — Inkrafttreten</w:t>
      </w:r>
    </w:p>
    <w:p>
      <w:r>
        <w:rPr>
          <w:color w:val="555555"/>
          <w:sz w:val="18"/>
        </w:rPr>
        <w:t xml:space="preserve">Anordnung zur Übertragung von Zuständigkeiten für den Erlass von Bescheiden und Widerspruchsbescheiden und die Vertretung des Dienstherrn bei Klagen von Bediensteten des Auswärtigen Amts auf das Bundesverwaltungsamt</w:t>
      </w:r>
    </w:p>
    <w:p>
      <w:r>
        <w:rPr>
          <w:color w:val="555555"/>
          <w:sz w:val="18"/>
        </w:rPr>
        <w:t xml:space="preserve">Stand: 21.06.2024 (konsolidierte Textfassung, kein amtliches Inkrafttretensdatum)</w:t>
      </w:r>
    </w:p>
    <w:p>
      <w:r>
        <w:t xml:space="preserve">(1) Diese Anordnung tritt für die Beihilfefestsetzung mit Wirkung vom 1. Juni 2017 in Kraft.</w:t>
      </w:r>
    </w:p>
    <w:p>
      <w:r>
        <w:t xml:space="preserve">(2) Diese Anordnung tritt für das Widerspruchs- und Klageverfahren von Beihilfeangelegenheiten mit Wirkung vom 14. September 2023 in Kraft.</w:t>
      </w:r>
    </w:p>
    <w:p>
      <w:r>
        <w:t xml:space="preserve">(3) Diese Anordnung tritt für die Festsetzung von Reisevorbereitung, Reisekosten sowie für das Widerspruchs- und Klageverfahren von Angelegenheiten der Reisevorbereitung mit Wirkung vom 1. Juli 2012 in Kraft.</w:t>
      </w:r>
    </w:p>
    <w:p>
      <w:r>
        <w:t xml:space="preserve">(4) Diese Anordnung tritt für die Festsetzung von Umzugskosten sowie für das Widerspruchs- und Klageverfahren von Umzugskostenangelegenheiten mit Wirkung vom 1. Juni 2017 in Kraft.</w:t>
      </w:r>
    </w:p>
    <w:p>
      <w:r>
        <w:t xml:space="preserve">(5) Diese Anordnung tritt für die Festsetzung von Betreuungskosten sowie für das Widerspruchs- und Klageverfahren von Betreuungskostenangelegenheiten mit Wirkung vom 1. November 2021 in Kraft.</w:t>
      </w:r>
    </w:p>
    <w:p>
      <w:r>
        <w:t xml:space="preserve">(6) Diese Anordnung tritt für die Festsetzung von Trennungsgeld Inland sowie für das Widerspruchs- und Klageverfahren von Trennungsgeldangelegenheiten mit Wirkung vom 1. September 2021 in Kraft.</w:t>
      </w:r>
    </w:p>
    <w:p>
      <w:r>
        <w:t xml:space="preserve">(7) Diese Anordnung tritt für die Festsetzung von Auslandstrennungsgeld nach § 12 Absatz 8 der Auslandstrennungsgeldverordnung sowie für das Widerspruchs- und Klageverfahren von Auslandstrennungsgeldangelegenheiten mit Wirkung vom 1. Juni 2017 in Kraft.</w:t>
      </w:r>
    </w:p>
    <w:p>
      <w:r>
        <w:t xml:space="preserve">(8) Diese Anordnung tritt für die Festsetzung von Schadensersatzansprüchen sowie für das Widerspruchs- und Klageverfahren von Schadensersatzangelegenheiten mit Wirkung vom 10. Juli 1995 in Kraft.</w:t>
      </w:r>
    </w:p>
    <w:p>
      <w:r>
        <w:rPr>
          <w:color w:val="555555"/>
          <w:sz w:val="17"/>
        </w:rPr>
        <w:t xml:space="preserve">Zitiervorschlag: § 2 AAÜbertrAnO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https://recht.nulegal.eu/gesetze/AA%C3%9CbertrAnO/2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