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AAÜG — Bußgeldvorschriften</w:t>
      </w:r>
    </w:p>
    <w:p>
      <w:r>
        <w:rPr>
          <w:color w:val="555555"/>
          <w:sz w:val="18"/>
        </w:rPr>
        <w:t xml:space="preserve">Anspruchs- und Anwartschaftsüberführungsgesetz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8 Abs. 1 Satz 5 Nr. 1 eine Auskunft nicht, nicht richtig, nicht vollständig oder nicht rechtzeitig erteilt oder</w:t>
      </w:r>
    </w:p>
    <w:p>
      <w:pPr>
        <w:ind w:left="420"/>
      </w:pPr>
      <w:r>
        <w:t xml:space="preserve">2. entgegen § 8 Abs. 1 Satz 5 Nr. 2 die erforderlichen Unterlagen nicht, nicht vollständig oder nicht rechtzeitig vorlegt.</w:t>
      </w:r>
    </w:p>
    <w:p>
      <w:r>
        <w:t xml:space="preserve">(2) Die Ordnungswidrigkeit kann mit einer Geldbuße bis zu zweitausendfünfhundert Euro geahndet werden.</w:t>
      </w:r>
    </w:p>
    <w:p>
      <w:r>
        <w:t xml:space="preserve">(3) Verwaltungsbehörde im Sinne des § 36 Abs. 1 Nr. 1 des Gesetzes über Ordnungswidrigkeiten ist der Versorgungsträger. Abweichend von Satz 1 ist für den Versorgungsträger nach § 8 Abs. 4 Nr. 3 Verwaltungsbehörde im Sinne des § 36 Abs. 1 des Gesetzes über Ordnungswidrigkeiten das Bundesamt für Soziale Sicherung.</w:t>
      </w:r>
    </w:p>
    <w:p>
      <w:r>
        <w:t xml:space="preserve">(4) Die Geldbußen fließen in die Kasse der Deutschen Rentenversicherung Bund, wenn sie als Versorgungsträger den Bußgeldbescheid erlassen hat. § 66 des Zehnten Buches Sozialgesetzbuch gilt entsprechend. Diese Kasse trägt abweichend von § 105 Abs. 2 des Gesetzes über Ordnungswidrigkeiten die notwendigen Auslagen; sie ist auch ersatzpflichtig im Sinne des § 110 Abs. 4 des Gesetzes über Ordnungswidrigkeiten.</w:t>
      </w:r>
    </w:p>
    <w:p>
      <w:r>
        <w:rPr>
          <w:color w:val="555555"/>
          <w:sz w:val="17"/>
        </w:rPr>
        <w:t xml:space="preserve">Zitiervorschlag: § 18 AAÜG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