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AAÜG — Sozialgerichtsverfahren</w:t>
      </w:r>
    </w:p>
    <w:p>
      <w:r>
        <w:rPr>
          <w:color w:val="555555"/>
          <w:sz w:val="18"/>
        </w:rPr>
        <w:t xml:space="preserve">Anspruchs- und Anwartschaftsüberführungsgesetz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Über Streitigkeiten auf Grund dieses Gesetzes entscheiden die Gerichte der Sozialgerichtsbarkeit.</w:t>
      </w:r>
    </w:p>
    <w:p>
      <w:r>
        <w:rPr>
          <w:color w:val="555555"/>
          <w:sz w:val="17"/>
        </w:rPr>
        <w:t xml:space="preserve">Zitiervorschlag: § 17 AAÜG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https://recht.nulegal.eu/gesetze/AA%C3%9CG/17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