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14a AAÜG — Weitergeltung von Bescheiden</w:t>
      </w:r>
    </w:p>
    <w:p>
      <w:r>
        <w:rPr>
          <w:color w:val="555555"/>
          <w:sz w:val="18"/>
        </w:rPr>
        <w:t xml:space="preserve">Anspruchs- und Anwartschaftsüberführungsgesetz</w:t>
      </w:r>
    </w:p>
    <w:p>
      <w:r>
        <w:rPr>
          <w:color w:val="555555"/>
          <w:sz w:val="18"/>
        </w:rPr>
        <w:t xml:space="preserve">Stand: 10.06.2019 (konsolidierte Textfassung, kein amtliches Inkrafttretensdatum)</w:t>
      </w:r>
    </w:p>
    <w:p>
      <w:r>
        <w:t xml:space="preserve">Für Pflichtbeitragszeiten nach diesem Gesetz, für die ein Versorgungsträger oder ein Träger der gesetzlichen Rentenversicherung bis 23. Juni 2005 Feststellungen getroffen hat, aufgrund derer bei der Ermittlung einer Rente nach den Vorschriften des Sechsten Buches Sozialgesetzbuch ein Verdienst zugrunde zu legen ist, der den Betrag der Anlage 5 übersteigt, ist § 6 Abs. 2 dieses Gesetzes nicht anzuwenden.</w:t>
      </w:r>
    </w:p>
    <w:p>
      <w:r>
        <w:rPr>
          <w:color w:val="555555"/>
          <w:sz w:val="17"/>
        </w:rPr>
        <w:t xml:space="preserve">Zitiervorschlag: § 14a AAÜG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https://recht.nulegal.eu/gesetze/AA%C3%9CG/14a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