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AAÜG — Einstellung von Leistungen</w:t>
      </w:r>
    </w:p>
    <w:p>
      <w:r>
        <w:rPr>
          <w:color w:val="555555"/>
          <w:sz w:val="18"/>
        </w:rPr>
        <w:t xml:space="preserve">Anspruchs- und Anwartschaftsüberführungsgesetz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Vom Ersten des auf die Verkündung dieses Gesetzes folgenden Kalendermonats an werden folgende Leistungen nicht mehr gewährt:</w:t>
      </w:r>
    </w:p>
    <w:p>
      <w:pPr>
        <w:ind w:left="420"/>
      </w:pPr>
      <w:r>
        <w:t xml:space="preserve">1. Renten nach § 4 Abs. 2 aus dem Sonderversorgungssystem nach Anlage 2 Nr. 4, wenn gleichzeitig eine Rente nach den Vorschriften des Bundesgebiets ohne das Beitrittsgebiet gezahlt wird,</w:t>
      </w:r>
    </w:p>
    <w:p>
      <w:pPr>
        <w:ind w:left="420"/>
      </w:pPr>
      <w:r>
        <w:t xml:space="preserve">2. Dienstzeitrenten aus dem Sonderversorgungssystem der Anlage 2 Nr. 2,</w:t>
      </w:r>
    </w:p>
    <w:p>
      <w:pPr>
        <w:ind w:left="420"/>
      </w:pPr>
      <w:r>
        <w:t xml:space="preserve">3. Versorgungsleistungen nach § 9 Abs. 1 Nr. 1 an ehemalige Angehörige des Ministeriums für Staatssicherheit/Amtes für Nationale Sicherheit, die nach dem 30. September 1989 in den Bereich anderer Versorgungssysteme gewechselt sind; ausgenommen sind Invalidenrenten nach § 9 Abs. 1 Nr. 1 Buchstabe c auf Grund einer Entlassung vor dem 1. Juli 1990.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(weggefallen)</w:t>
      </w:r>
    </w:p>
    <w:p>
      <w:r>
        <w:t xml:space="preserve">(2) Leistungen aus dem Sonderversorgungssystem nach Anlage 2 Nr. 4, die auf Grund einer Tätigkeit für das Ministerium für Staatssicherheit/Amt für Nationale Sicherheit bewilligt worden sind, obwohl eine Zugehörigkeit zum Versorgungssystem nach Anlage 2 Nr. 4 nicht bestanden hat, werden nicht mehr gewährt.</w:t>
      </w:r>
    </w:p>
    <w:p>
      <w:r>
        <w:t xml:space="preserve">(3) Die Entscheidung nach Absatz 1 hat der Versorgungsträger durch Bescheid vorzunehmen. Die Anhörung eines Beteiligten vor Erlaß des Bescheides ist nicht erforderlich. § 8 Abs. 3 Satz 2 ist anzuwenden.</w:t>
      </w:r>
    </w:p>
    <w:p>
      <w:r>
        <w:rPr>
          <w:color w:val="555555"/>
          <w:sz w:val="17"/>
        </w:rPr>
        <w:t xml:space="preserve">Zitiervorschlag: § 13 AAÜG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https://recht.nulegal.eu/gesetze/AA%C3%9CG/13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