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AÜKostV</w:t>
      </w:r>
    </w:p>
    <w:p>
      <w:r>
        <w:rPr>
          <w:color w:val="555555"/>
          <w:sz w:val="18"/>
        </w:rPr>
        <w:t xml:space="preserve">Arbeitnehmerüberlassungserlaubnis-Kostenverordnung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durch Artikel 1 Nr. 1 des Gesetzes vom 15. Dezember 1981 (BGBl. I S. 1390) eingefügten Artikels 1 § 2a Abs. 2 Satz 2 des Arbeitnehmerüberlassungsgesetzes vom 7. August 1972 (BGBl. I S. 1393) in Verbindung mit dem Zweiten Abschnitt des Verwaltungskostengesetzes vom 23. Juni 1970 (BGBl. I S. 821)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AÜKostV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