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AÜKostV — Auslagen</w:t>
      </w:r>
    </w:p>
    <w:p>
      <w:r>
        <w:rPr>
          <w:color w:val="555555"/>
          <w:sz w:val="18"/>
        </w:rPr>
        <w:t xml:space="preserve">Arbeitnehmerüberlassungserlaubnis-Kostenverordnung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Als Auslagen werden die in § 10 Absatz 1 Nummer 2 bis 4 des Verwaltungskostengesetzes in der bis zum 14. August 2013 geltenden Fassung bezeichneten Aufwendungen erhoben.</w:t>
      </w:r>
    </w:p>
    <w:p>
      <w:r>
        <w:rPr>
          <w:color w:val="555555"/>
          <w:sz w:val="17"/>
        </w:rPr>
        <w:t xml:space="preserve">Zitiervorschlag: § 3 AÜKostV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https://recht.nulegal.eu/gesetze/A%C3%9CKostV/3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