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AÜGMeldstellV — Inkrafttreten</w:t>
      </w:r>
    </w:p>
    <w:p>
      <w:r>
        <w:rPr>
          <w:color w:val="555555"/>
          <w:sz w:val="18"/>
        </w:rPr>
        <w:t xml:space="preserve">Verordnung zur Bestimmung der zuständigen Behörde nach § 17b Absatz 4 des Arbeitnehmerüberlassungsgesetzes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AÜGMeldstellV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https://recht.nulegal.eu/gesetze/A%C3%9CGMeldstellV/2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