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1b AÜG — Einschränkungen im Baugewerbe</w:t>
      </w:r>
    </w:p>
    <w:p>
      <w:r>
        <w:rPr>
          <w:color w:val="555555"/>
          <w:sz w:val="18"/>
        </w:rPr>
        <w:t xml:space="preserve">Arbeitnehmerüberlassungsgesetz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Arbeitnehmerüberlassung nach § 1 in Betriebe des Baugewerbes für Arbeiten, die üblicherweise von Arbeitern verrichtet werden, ist unzulässig. Sie ist gestattet</w:t>
      </w:r>
    </w:p>
    <w:p>
      <w:pPr>
        <w:ind w:left="420"/>
      </w:pPr>
      <w:r>
        <w:t xml:space="preserve">a) zwischen Betrieben des Baugewerbes und anderen Betrieben, wenn diese Betriebe erfassende, für allgemeinverbindlich erklärte Tarifverträge dies bestimmen,</w:t>
      </w:r>
    </w:p>
    <w:p>
      <w:pPr>
        <w:ind w:left="420"/>
      </w:pPr>
      <w:r>
        <w:t xml:space="preserve">b) zwischen Betrieben des Baugewerbes, wenn der verleihende Betrieb nachweislich seit mindestens drei Jahren von denselben Rahmen- und Sozialkassentarifverträgen oder von deren Allgemeinverbindlichkeit erfasst wird.</w:t>
      </w:r>
    </w:p>
    <w:p>
      <w:r>
        <w:t xml:space="preserve">Abweichend von Satz 2 ist für Betriebe des Baugewerbes mit Geschäftssitz in einem anderen Mitgliedstaat des Europäischen Wirtschaftsraumes Arbeitnehmerüberlassung auch gestattet, wenn die ausländischen Betriebe nicht von deutschen Rahmen- und Sozialkassentarifverträgen oder für allgemeinverbindlich erklärten Tarifverträgen erfasst werden, sie aber nachweislich seit mindestens drei Jahren überwiegend Tätigkeiten ausüben, die unter den Geltungsbereich derselben Rahmen- und Sozialkassentarifverträge fallen, von denen der Betrieb des Entleihers erfasst wird.</w:t>
      </w:r>
    </w:p>
    <w:p>
      <w:r>
        <w:rPr>
          <w:color w:val="555555"/>
          <w:sz w:val="17"/>
        </w:rPr>
        <w:t xml:space="preserve">Zitiervorschlag: § 1b AÜG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https://recht.nulegal.eu/gesetze/A%C3%9CG/1b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