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AÜG — Übergangsvorschrift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8 Absatz 3 findet keine Anwendung auf Leiharbeitsverhältnisse, die vor dem 15. Dezember 2010 begründet worden sind.</w:t>
      </w:r>
    </w:p>
    <w:p>
      <w:r>
        <w:t xml:space="preserve">(2) Überlassungszeiten vor dem 1. April 2017 werden bei der Berechnung der Überlassungshöchstdauer nach § 1 Absatz 1b und der Berechnung der Überlassungszeiten nach § 8 Absatz 4 Satz 1 nicht berücksichtigt.</w:t>
      </w:r>
    </w:p>
    <w:p>
      <w:r>
        <w:rPr>
          <w:color w:val="555555"/>
          <w:sz w:val="17"/>
        </w:rPr>
        <w:t xml:space="preserve">Zitiervorschlag: § 19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