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AÜG — Zusammenarbeit mit anderen Behörden</w:t>
      </w:r>
    </w:p>
    <w:p>
      <w:r>
        <w:rPr>
          <w:color w:val="555555"/>
          <w:sz w:val="18"/>
        </w:rPr>
        <w:t xml:space="preserve">Arbeitnehmerüberlassungsgesetz</w:t>
      </w:r>
    </w:p>
    <w:p>
      <w:r>
        <w:rPr>
          <w:color w:val="555555"/>
          <w:sz w:val="18"/>
        </w:rPr>
        <w:t xml:space="preserve">Stand: 08.01.2026 (konsolidierte Textfassung, kein amtliches Inkrafttretensdatum)</w:t>
      </w:r>
    </w:p>
    <w:p>
      <w:r>
        <w:t xml:space="preserve">(1) Zur Verfolgung und Ahndung der Ordnungswidrigkeiten nach § 16 arbeiten die Bundesagentur für Arbeit und die Behörden der Zollverwaltung insbesondere mit folgenden Behörden zusammen:</w:t>
      </w:r>
    </w:p>
    <w:p>
      <w:pPr>
        <w:ind w:left="420"/>
      </w:pPr>
      <w:r>
        <w:t xml:space="preserve">1. den Trägern der Krankenversicherung als Einzugsstellen für die Sozialversicherungsbeiträge,</w:t>
      </w:r>
    </w:p>
    <w:p>
      <w:pPr>
        <w:ind w:left="420"/>
      </w:pPr>
      <w:r>
        <w:t xml:space="preserve">2. den in § 71 des Aufenthaltsgesetzes genannten Behörden,</w:t>
      </w:r>
    </w:p>
    <w:p>
      <w:pPr>
        <w:ind w:left="420"/>
      </w:pPr>
      <w:r>
        <w:t xml:space="preserve">3. den Finanzbehörden,</w:t>
      </w:r>
    </w:p>
    <w:p>
      <w:pPr>
        <w:ind w:left="420"/>
      </w:pPr>
      <w:r>
        <w:t xml:space="preserve">4. den nach Landesrecht für die Verfolgung und Ahndung von Ordnungswidrigkeiten nach dem Schwarzarbeitsbekämpfungsgesetz zuständigen Behörden,</w:t>
      </w:r>
    </w:p>
    <w:p>
      <w:pPr>
        <w:ind w:left="420"/>
      </w:pPr>
      <w:r>
        <w:t xml:space="preserve">5. den Trägern der Unfallversicherung,</w:t>
      </w:r>
    </w:p>
    <w:p>
      <w:pPr>
        <w:ind w:left="420"/>
      </w:pPr>
      <w:r>
        <w:t xml:space="preserve">6. den für den Arbeitsschutz zuständigen Landesbehörden,</w:t>
      </w:r>
    </w:p>
    <w:p>
      <w:pPr>
        <w:ind w:left="420"/>
      </w:pPr>
      <w:r>
        <w:t xml:space="preserve">7. den Rentenversicherungsträgern,</w:t>
      </w:r>
    </w:p>
    <w:p>
      <w:pPr>
        <w:ind w:left="420"/>
      </w:pPr>
      <w:r>
        <w:t xml:space="preserve">8. den Trägern der Sozialhilfe.</w:t>
      </w:r>
    </w:p>
    <w:p>
      <w:r>
        <w:t xml:space="preserve">(2) Ergeben sich für die Bundesagentur für Arbeit oder die Behörden der Zollverwaltung bei der Durchführung dieses Gesetzes im Einzelfall konkrete Anhaltspunkte für</w:t>
      </w:r>
    </w:p>
    <w:p>
      <w:pPr>
        <w:ind w:left="420"/>
      </w:pPr>
      <w:r>
        <w:t xml:space="preserve">1. Verstöße gegen das Schwarzarbeitsbekämpfungsgesetz,</w:t>
      </w:r>
    </w:p>
    <w:p>
      <w:pPr>
        <w:ind w:left="420"/>
      </w:pPr>
      <w:r>
        <w:t xml:space="preserve">2. eine Beschäftigung oder Tätigkeit von Ausländern ohne erforderlichen Aufenthaltstitel nach § 4a Absatz 5 Satz 1 des Aufenthaltsgesetzes, eine Erlaubnis oder Berechtigung nach § 4a Absatz 5 Satz 2 in Verbindung mit Absatz 4 des Aufenthaltsgesetzes, eine Aufenthaltsgestattung oder eine Duldung, die zur Ausübung der Beschäftigung berechtigen, oder eine Genehmigung nach § 284 Abs. 1 des Dritten Buches Sozialgesetzbuch,</w:t>
      </w:r>
    </w:p>
    <w:p>
      <w:pPr>
        <w:ind w:left="420"/>
      </w:pPr>
      <w:r>
        <w:t xml:space="preserve">3. Verstöße gegen die Mitwirkungspflicht nach § 60 Abs. 1 Satz 1 Nr. 2 des Ersten Buches Sozialgesetzbuch gegenüber einer Dienststelle der Bundesagentur für Arbeit, einem Träger der gesetzlichen Kranken-, Pflege-, Unfall- oder Rentenversicherung oder einem Träger der Sozialhilfe oder gegen die Meldepflicht nach § 8a des Asylbewerberleistungsgesetzes,</w:t>
      </w:r>
    </w:p>
    <w:p>
      <w:pPr>
        <w:ind w:left="420"/>
      </w:pPr>
      <w:r>
        <w:t xml:space="preserve">4. Verstöße gegen die Vorschriften des Vierten und Siebten Buches Sozialgesetzbuch über die Verpflichtung zur Zahlung von Sozialversicherungsbeiträgen, soweit sie im Zusammenhang mit den in den Nummern 1 bis 3 genannten Verstößen sowie mit Arbeitnehmerüberlassung entgegen § 1 stehen,</w:t>
      </w:r>
    </w:p>
    <w:p>
      <w:pPr>
        <w:ind w:left="420"/>
      </w:pPr>
      <w:r>
        <w:t xml:space="preserve">5. Verstöße gegen die Steuergesetze,</w:t>
      </w:r>
    </w:p>
    <w:p>
      <w:pPr>
        <w:ind w:left="420"/>
      </w:pPr>
      <w:r>
        <w:t xml:space="preserve">6. Verstöße gegen das Aufenthaltsgesetz,</w:t>
      </w:r>
    </w:p>
    <w:p>
      <w:pPr>
        <w:ind w:left="420"/>
      </w:pPr>
      <w:r>
        <w:t xml:space="preserve">7. Verstöße gegen das Gesetz zur Sicherung von Arbeitnehmerrechten in der Fleischwirtschaft,</w:t>
      </w:r>
    </w:p>
    <w:p>
      <w:pPr>
        <w:ind w:left="420"/>
      </w:pPr>
      <w:r>
        <w:t xml:space="preserve">8. Verstöße gegen das Mindestlohngesetz,</w:t>
      </w:r>
    </w:p>
    <w:p>
      <w:pPr>
        <w:ind w:left="420"/>
      </w:pPr>
      <w:r>
        <w:t xml:space="preserve">9. Verstöße gegen das Arbeitnehmer-Entsendegesetz,</w:t>
      </w:r>
    </w:p>
    <w:p>
      <w:r>
        <w:t xml:space="preserve">unterrichten sie die für die Verfolgung und Ahndung zuständigen Behörden, die Träger der Sozialhilfe sowie die Behörden nach § 71 des Aufenthaltsgesetzes.</w:t>
      </w:r>
    </w:p>
    <w:p>
      <w:r>
        <w:t xml:space="preserve">(3) In Strafsachen, die Straftaten nach den §§ 15 und 15a zum Gegenstand haben, sind der Bundesagentur für Arbeit und den Behörden der Zollverwaltung zur Verfolgung von Ordnungswidrigkeiten</w:t>
      </w:r>
    </w:p>
    <w:p>
      <w:pPr>
        <w:ind w:left="420"/>
      </w:pPr>
      <w:r>
        <w:t xml:space="preserve">1. bei Einleitung des Strafverfahrens die Personendaten des Beschuldigten, der Straftatbestand, die Tatzeit und der Tatort,</w:t>
      </w:r>
    </w:p>
    <w:p>
      <w:pPr>
        <w:ind w:left="420"/>
      </w:pPr>
      <w:r>
        <w:t xml:space="preserve">2. im Falle der Erhebung der öffentlichen Klage die das Verfahren abschließende Entscheidung mit Begründung</w:t>
      </w:r>
    </w:p>
    <w:p>
      <w:r>
        <w:t xml:space="preserve">zu übermitteln. Ist mit der in Nummer 2 genannten Entscheidung ein Rechtsmittel verworfen worden oder wird darin auf die angefochtene Entscheidung Bezug genommen, so ist auch die angefochtene Entscheidung zu übermitteln. Die Übermittlung veranlaßt die Strafvollstreckungs- oder die Strafverfolgungsbehörde. Eine Verwendung</w:t>
      </w:r>
    </w:p>
    <w:p>
      <w:pPr>
        <w:ind w:left="420"/>
      </w:pPr>
      <w:r>
        <w:t xml:space="preserve">1. der Daten der Arbeitnehmer für Maßnahmen zu ihren Gunsten,</w:t>
      </w:r>
    </w:p>
    <w:p>
      <w:pPr>
        <w:ind w:left="420"/>
      </w:pPr>
      <w:r>
        <w:t xml:space="preserve">2. der Daten des Arbeitgebers zur Besetzung seiner offenen Arbeitsplätze, die im Zusammenhang mit dem Strafverfahren bekanntgeworden sind,</w:t>
      </w:r>
    </w:p>
    <w:p>
      <w:pPr>
        <w:ind w:left="420"/>
      </w:pPr>
      <w:r>
        <w:t xml:space="preserve">3. der in den Nummern 1 und 2 genannten Daten für Entscheidungen über die Einstellung oder Rückforderung von Leistungen der Bundesagentur für Arbeit</w:t>
      </w:r>
    </w:p>
    <w:p>
      <w:r>
        <w:t xml:space="preserve">ist zulässig.</w:t>
      </w:r>
    </w:p>
    <w:p>
      <w:r>
        <w:t xml:space="preserve">(4) (weggefallen)</w:t>
      </w:r>
    </w:p>
    <w:p>
      <w:r>
        <w:t xml:space="preserve">(5) Die Behörden der Zollverwaltung unterrichten die zuständigen örtlichen Landesfinanzbehörden über den Inhalt von Meldungen nach § 17b.</w:t>
      </w:r>
    </w:p>
    <w:p>
      <w:r>
        <w:t xml:space="preserve">(6) Die Behörden der Zollverwaltung und die übrigen in § 2 des Schwarzarbeitsbekämpfungsgesetzes genannten Behörden dürfen nach Maßgabe der jeweils einschlägigen datenschutzrechtlichen Bestimmungen auch mit Behörden anderer Vertragsstaaten des Abkommens über den Europäischen Wirtschaftsraum zusammenarbeiten, die dem § 17 Absatz 2 entsprechende Aufgaben durchführen oder für die Bekämpfung illegaler Beschäftigung zuständig sind oder Auskünfte geben können, ob ein Arbeitgeber seine Verpflichtungen nach § 8 Absatz 5 erfüllt. Die Regelungen über die internationale Rechtshilfe in Strafsachen bleiben hiervon unberührt.</w:t>
      </w:r>
    </w:p>
    <w:p>
      <w:r>
        <w:rPr>
          <w:color w:val="555555"/>
          <w:sz w:val="17"/>
        </w:rPr>
        <w:t xml:space="preserve">Zitiervorschlag: § 18 AÜG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https://recht.nulegal.eu/gesetze/A%C3%9CG/18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