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17b AÜG — Meldepflicht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29.06.2026 (konsolidierte Textfassung, kein amtliches Inkrafttretensdatum)</w:t>
      </w:r>
    </w:p>
    <w:p>
      <w:r>
        <w:t xml:space="preserve">(1) Überlässt ein Verleiher mit Sitz im Ausland einen Leiharbeitnehmer zur Arbeitsleistung einem Entleiher, hat der Verleiher, sofern eine Rechtsverordnung nach § 3a auf das Arbeitsverhältnis Anwendung findet, vor Beginn jeder Überlassung der zuständigen Behörde der Zollverwaltung eine schriftliche Anmeldung in deutscher Sprache mit folgenden Angaben zuzuleiten:</w:t>
      </w:r>
    </w:p>
    <w:p>
      <w:pPr>
        <w:ind w:left="420"/>
      </w:pPr>
      <w:r>
        <w:t xml:space="preserve">1. Familienname, Vornamen, Geburtsdatum, Staatsangehörigkeit und Kontaktdaten des überlassenen Leiharbeitnehmers,</w:t>
      </w:r>
    </w:p>
    <w:p>
      <w:pPr>
        <w:ind w:left="420"/>
      </w:pPr>
      <w:r>
        <w:t xml:space="preserve">2. Beginn und Dauer der Überlassung,</w:t>
      </w:r>
    </w:p>
    <w:p>
      <w:pPr>
        <w:ind w:left="420"/>
      </w:pPr>
      <w:r>
        <w:t xml:space="preserve">3. Ort der Beschäftigung,</w:t>
      </w:r>
    </w:p>
    <w:p>
      <w:pPr>
        <w:ind w:left="420"/>
      </w:pPr>
      <w:r>
        <w:t xml:space="preserve">4. Ort im Inland, an dem die nach § 17c erforderlichen Unterlagen bereitgehalten werden,</w:t>
      </w:r>
    </w:p>
    <w:p>
      <w:pPr>
        <w:ind w:left="420"/>
      </w:pPr>
      <w:r>
        <w:t xml:space="preserve">5. Familienname, Vornamen und Anschrift in Deutschland eines oder einer Zustellungsbevollmächtigten des Verleihers,</w:t>
      </w:r>
    </w:p>
    <w:p>
      <w:pPr>
        <w:ind w:left="420"/>
      </w:pPr>
      <w:r>
        <w:t xml:space="preserve">6. Branche, in die die Leiharbeitnehmer überlassen werden sollen,</w:t>
      </w:r>
    </w:p>
    <w:p>
      <w:pPr>
        <w:ind w:left="420"/>
      </w:pPr>
      <w:r>
        <w:t xml:space="preserve">7. Tätigkeit oder Position des überlassenen Leiharbeitnehmers für die Dauer der Überlassung und</w:t>
      </w:r>
    </w:p>
    <w:p>
      <w:pPr>
        <w:ind w:left="420"/>
      </w:pPr>
      <w:r>
        <w:t xml:space="preserve">8. Familienname, Vornamen oder Firma sowie Anschrift des Entleihers.</w:t>
      </w:r>
    </w:p>
    <w:p>
      <w:r>
        <w:t xml:space="preserve">Änderungen bezüglich dieser Angaben hat der Verleiher unverzüglich zu melden.</w:t>
      </w:r>
    </w:p>
    <w:p>
      <w:r>
        <w:t xml:space="preserve">(2) Das Bundesministerium der Finanzen kann durch Rechtsverordnung im Einvernehmen mit dem Bundesministerium für Arbeit und Soziales ohne Zustimmung des Bundesrates bestimmen,</w:t>
      </w:r>
    </w:p>
    <w:p>
      <w:pPr>
        <w:ind w:left="420"/>
      </w:pPr>
      <w:r>
        <w:t xml:space="preserve">1. in welchem Fall, auf welche Weise und unter welchen technischen und organisatorischen Voraussetzungen eine Anmeldung oder eine Änderungsmeldung abweichend von Absatz 1 elektronisch übermittelt werden kann,</w:t>
      </w:r>
    </w:p>
    <w:p>
      <w:pPr>
        <w:ind w:left="420"/>
      </w:pPr>
      <w:r>
        <w:t xml:space="preserve">2. unter welchen Voraussetzungen eine Änderungsmeldung ausnahmsweise entfallen kann und</w:t>
      </w:r>
    </w:p>
    <w:p>
      <w:pPr>
        <w:ind w:left="420"/>
      </w:pPr>
      <w:r>
        <w:t xml:space="preserve">3. wie das Meldeverfahren vereinfacht oder abgewandelt werden kann.</w:t>
      </w:r>
    </w:p>
    <w:p>
      <w:r>
        <w:t xml:space="preserve">(3) Das Bundesministerium der Finanzen kann durch Rechtsverordnung ohne Zustimmung des Bundesrates die zuständige Behörde nach Absatz 1 Satz 1 bestimmen.</w:t>
      </w:r>
    </w:p>
    <w:p>
      <w:r>
        <w:rPr>
          <w:color w:val="555555"/>
          <w:sz w:val="17"/>
        </w:rPr>
        <w:t xml:space="preserve">Zitiervorschlag: § 17b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